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4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14"/>
        <w:gridCol w:w="4085"/>
        <w:gridCol w:w="3076"/>
        <w:gridCol w:w="2056"/>
        <w:gridCol w:w="1644"/>
      </w:tblGrid>
      <w:tr w:rsidR="00B03108" w:rsidTr="00AB3237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 w:rsidTr="00AB3237">
        <w:trPr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71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3C05B4" w:rsidRPr="005C2C68" w:rsidTr="00AB3237">
        <w:trPr>
          <w:trHeight w:val="397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1.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D03B0C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Слободан Танасковски</w:t>
            </w:r>
          </w:p>
        </w:tc>
        <w:tc>
          <w:tcPr>
            <w:tcW w:w="4085" w:type="dxa"/>
            <w:shd w:val="clear" w:color="auto" w:fill="auto"/>
          </w:tcPr>
          <w:p w:rsidR="003C05B4" w:rsidRPr="007658A1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7658A1">
              <w:rPr>
                <w:rFonts w:ascii="SkolaSerifOffc" w:hAnsi="SkolaSerifOffc"/>
                <w:sz w:val="20"/>
                <w:szCs w:val="20"/>
              </w:rPr>
              <w:t>„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Семантичките метаморфози на </w:t>
            </w:r>
            <w:r w:rsidR="00D03B0C" w:rsidRPr="007658A1">
              <w:rPr>
                <w:rFonts w:ascii="Cambria" w:hAnsi="Cambria" w:cs="Cambria"/>
                <w:sz w:val="20"/>
                <w:szCs w:val="20"/>
              </w:rPr>
              <w:t>Λάμια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="00D03B0C" w:rsidRPr="007658A1">
              <w:rPr>
                <w:rFonts w:ascii="SkolaSerifOffc" w:hAnsi="SkolaSerifOffc" w:cs="SkolaSerifOffc"/>
                <w:sz w:val="20"/>
                <w:szCs w:val="20"/>
              </w:rPr>
              <w:t>во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="00D03B0C" w:rsidRPr="007658A1">
              <w:rPr>
                <w:rFonts w:ascii="SkolaSerifOffc" w:hAnsi="SkolaSerifOffc" w:cs="SkolaSerifOffc"/>
                <w:sz w:val="20"/>
                <w:szCs w:val="20"/>
              </w:rPr>
              <w:t>традицијата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="00D03B0C" w:rsidRPr="007658A1">
              <w:rPr>
                <w:rFonts w:ascii="SkolaSerifOffc" w:hAnsi="SkolaSerifOffc" w:cs="SkolaSerifOffc"/>
                <w:sz w:val="20"/>
                <w:szCs w:val="20"/>
              </w:rPr>
              <w:t>на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="00D03B0C" w:rsidRPr="007658A1">
              <w:rPr>
                <w:rFonts w:ascii="SkolaSerifOffc" w:hAnsi="SkolaSerifOffc" w:cs="SkolaSerifOffc"/>
                <w:sz w:val="20"/>
                <w:szCs w:val="20"/>
              </w:rPr>
              <w:t>балканските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="00D03B0C" w:rsidRPr="007658A1">
              <w:rPr>
                <w:rFonts w:ascii="SkolaSerifOffc" w:hAnsi="SkolaSerifOffc" w:cs="SkolaSerifOffc"/>
                <w:sz w:val="20"/>
                <w:szCs w:val="20"/>
              </w:rPr>
              <w:t>народи</w:t>
            </w:r>
            <w:r w:rsidR="00D03B0C" w:rsidRPr="007658A1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Pr="007658A1">
              <w:rPr>
                <w:rFonts w:ascii="SkolaSerifOffc" w:hAnsi="SkolaSerifOffc"/>
                <w:sz w:val="20"/>
                <w:szCs w:val="20"/>
              </w:rPr>
              <w:t>“</w:t>
            </w:r>
          </w:p>
        </w:tc>
        <w:tc>
          <w:tcPr>
            <w:tcW w:w="3076" w:type="dxa"/>
            <w:shd w:val="clear" w:color="auto" w:fill="auto"/>
          </w:tcPr>
          <w:p w:rsidR="003C05B4" w:rsidRPr="00B82689" w:rsidRDefault="00B82689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The semantic metamorphoses of </w:t>
            </w:r>
            <w:r w:rsidRPr="007658A1">
              <w:rPr>
                <w:rFonts w:ascii="Cambria" w:hAnsi="Cambria" w:cs="Cambria"/>
                <w:sz w:val="20"/>
                <w:szCs w:val="20"/>
              </w:rPr>
              <w:t>Λάμια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 xml:space="preserve"> in the tradition of the Balkan nations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D03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D03B0C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Валериј Софрониевски</w:t>
            </w:r>
          </w:p>
        </w:tc>
        <w:tc>
          <w:tcPr>
            <w:tcW w:w="1644" w:type="dxa"/>
            <w:shd w:val="clear" w:color="auto" w:fill="auto"/>
          </w:tcPr>
          <w:p w:rsidR="003C05B4" w:rsidRPr="00B82689" w:rsidRDefault="00B82689" w:rsidP="003C05B4">
            <w:r>
              <w:rPr>
                <w:lang w:val="en-US"/>
              </w:rPr>
              <w:t xml:space="preserve">10-470/3 </w:t>
            </w:r>
            <w:r>
              <w:t xml:space="preserve">од </w:t>
            </w:r>
            <w:r>
              <w:rPr>
                <w:lang w:val="en-US"/>
              </w:rPr>
              <w:t>3.3.2022</w:t>
            </w:r>
            <w:r>
              <w:t xml:space="preserve"> год.</w:t>
            </w:r>
          </w:p>
        </w:tc>
      </w:tr>
      <w:tr w:rsidR="00B82689" w:rsidRPr="005C2C68" w:rsidTr="00D03B0C">
        <w:trPr>
          <w:trHeight w:val="928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2.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Мирјана Јованова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964D6F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„</w:t>
            </w:r>
            <w:r w:rsidRPr="00D03B0C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Функционалност на семејството и девијантното однесување кај адолесцентите </w:t>
            </w:r>
            <w:r w:rsidRPr="00964D6F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076" w:type="dxa"/>
            <w:shd w:val="clear" w:color="auto" w:fill="auto"/>
          </w:tcPr>
          <w:p w:rsidR="00B82689" w:rsidRPr="005C2C68" w:rsidRDefault="00B82689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B82689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Family Functionality and Deviant Behavior in Adolescents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hAnsi="SkolaSerifOffc"/>
                <w:sz w:val="20"/>
                <w:szCs w:val="20"/>
              </w:rPr>
              <w:t>Татјана Стојановска Иванова</w:t>
            </w:r>
          </w:p>
        </w:tc>
        <w:tc>
          <w:tcPr>
            <w:tcW w:w="1644" w:type="dxa"/>
            <w:shd w:val="clear" w:color="auto" w:fill="auto"/>
          </w:tcPr>
          <w:p w:rsidR="00B82689" w:rsidRDefault="00B82689" w:rsidP="00B82689">
            <w:r>
              <w:rPr>
                <w:lang w:val="en-US"/>
              </w:rPr>
              <w:t>10-503</w:t>
            </w:r>
            <w:r w:rsidRPr="004E6DF1">
              <w:rPr>
                <w:lang w:val="en-US"/>
              </w:rPr>
              <w:t xml:space="preserve">/3 </w:t>
            </w:r>
            <w:r w:rsidRPr="004E6DF1">
              <w:t xml:space="preserve">од </w:t>
            </w:r>
            <w:r w:rsidRPr="004E6DF1">
              <w:rPr>
                <w:lang w:val="en-US"/>
              </w:rPr>
              <w:t>3.3.2022</w:t>
            </w:r>
            <w:r w:rsidRPr="004E6DF1">
              <w:t xml:space="preserve"> год.</w:t>
            </w:r>
          </w:p>
        </w:tc>
      </w:tr>
      <w:tr w:rsidR="00B82689" w:rsidRPr="005C2C68" w:rsidTr="00AB3237">
        <w:trPr>
          <w:trHeight w:val="712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3.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Викторија Сиљаноска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</w:t>
            </w:r>
            <w:r w:rsidRPr="00D03B0C">
              <w:rPr>
                <w:rFonts w:ascii="SkolaSerifOffc" w:hAnsi="SkolaSerifOffc"/>
                <w:sz w:val="20"/>
                <w:szCs w:val="20"/>
              </w:rPr>
              <w:t>Корелација помеѓу моторниот развој и развојот на говор кај децата</w:t>
            </w:r>
            <w:r w:rsidRPr="00964D6F">
              <w:rPr>
                <w:rFonts w:ascii="SkolaSerifOffc" w:hAnsi="SkolaSerifOffc"/>
                <w:sz w:val="20"/>
                <w:szCs w:val="20"/>
              </w:rPr>
              <w:t>“</w:t>
            </w:r>
          </w:p>
        </w:tc>
        <w:tc>
          <w:tcPr>
            <w:tcW w:w="3076" w:type="dxa"/>
            <w:shd w:val="clear" w:color="auto" w:fill="auto"/>
          </w:tcPr>
          <w:p w:rsidR="00B82689" w:rsidRPr="005C2C68" w:rsidRDefault="00B82689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Correlation between motor development and speech development in children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Оливера рашиќ Цаневска</w:t>
            </w:r>
          </w:p>
        </w:tc>
        <w:tc>
          <w:tcPr>
            <w:tcW w:w="1644" w:type="dxa"/>
            <w:shd w:val="clear" w:color="auto" w:fill="auto"/>
          </w:tcPr>
          <w:p w:rsidR="00B82689" w:rsidRDefault="00B82689" w:rsidP="00B82689">
            <w:r>
              <w:rPr>
                <w:lang w:val="en-US"/>
              </w:rPr>
              <w:t>10-549</w:t>
            </w:r>
            <w:r w:rsidRPr="004E6DF1">
              <w:rPr>
                <w:lang w:val="en-US"/>
              </w:rPr>
              <w:t xml:space="preserve">/3 </w:t>
            </w:r>
            <w:r w:rsidRPr="004E6DF1">
              <w:t xml:space="preserve">од </w:t>
            </w:r>
            <w:r w:rsidRPr="004E6DF1">
              <w:rPr>
                <w:lang w:val="en-US"/>
              </w:rPr>
              <w:t>3.3.2022</w:t>
            </w:r>
            <w:r w:rsidRPr="004E6DF1">
              <w:t xml:space="preserve"> год.</w:t>
            </w:r>
          </w:p>
        </w:tc>
      </w:tr>
      <w:tr w:rsidR="00B82689" w:rsidRPr="005C2C68" w:rsidTr="00AB3237">
        <w:trPr>
          <w:trHeight w:val="519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4.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Филип Милошевски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>
              <w:rPr>
                <w:rFonts w:ascii="SkolaSerifOffc" w:hAnsi="SkolaSerifOffc"/>
                <w:sz w:val="20"/>
                <w:szCs w:val="20"/>
              </w:rPr>
              <w:t>„</w:t>
            </w:r>
            <w:r w:rsidRPr="00D03B0C">
              <w:rPr>
                <w:rFonts w:ascii="SkolaSerifOffc" w:hAnsi="SkolaSerifOffc"/>
                <w:sz w:val="20"/>
                <w:szCs w:val="20"/>
              </w:rPr>
              <w:t>Улогата на меѓународните организации во одржување на глобалниот мир</w:t>
            </w:r>
            <w:r w:rsidRPr="00964D6F">
              <w:rPr>
                <w:rFonts w:ascii="SkolaSerifOffc" w:hAnsi="SkolaSerifOffc"/>
                <w:sz w:val="20"/>
                <w:szCs w:val="20"/>
              </w:rPr>
              <w:t>“</w:t>
            </w:r>
          </w:p>
        </w:tc>
        <w:tc>
          <w:tcPr>
            <w:tcW w:w="3076" w:type="dxa"/>
            <w:shd w:val="clear" w:color="auto" w:fill="auto"/>
          </w:tcPr>
          <w:p w:rsidR="00B82689" w:rsidRPr="00305B01" w:rsidRDefault="001F5D25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International organizations role in insuring global peace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Рина Киркова</w:t>
            </w:r>
          </w:p>
        </w:tc>
        <w:tc>
          <w:tcPr>
            <w:tcW w:w="1644" w:type="dxa"/>
            <w:shd w:val="clear" w:color="auto" w:fill="auto"/>
          </w:tcPr>
          <w:p w:rsidR="00B82689" w:rsidRDefault="001F5D25" w:rsidP="001F5D25">
            <w:r>
              <w:rPr>
                <w:lang w:val="en-US"/>
              </w:rPr>
              <w:t>10-588/2</w:t>
            </w:r>
            <w:r w:rsidR="00B82689" w:rsidRPr="004E6DF1">
              <w:rPr>
                <w:lang w:val="en-US"/>
              </w:rPr>
              <w:t xml:space="preserve"> </w:t>
            </w:r>
            <w:r w:rsidR="00B82689" w:rsidRPr="004E6DF1">
              <w:t xml:space="preserve">од </w:t>
            </w:r>
            <w:r w:rsidR="00B82689" w:rsidRPr="004E6DF1">
              <w:rPr>
                <w:lang w:val="en-US"/>
              </w:rPr>
              <w:t>3.3.2022</w:t>
            </w:r>
            <w:r w:rsidR="00B82689" w:rsidRPr="004E6DF1">
              <w:t xml:space="preserve"> год.</w:t>
            </w:r>
          </w:p>
        </w:tc>
      </w:tr>
      <w:tr w:rsidR="00B82689" w:rsidRPr="005C2C68" w:rsidTr="00D03B0C">
        <w:trPr>
          <w:trHeight w:val="847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5.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Марија Стефановска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03B0C">
              <w:rPr>
                <w:rFonts w:ascii="SkolaSerifOffc" w:hAnsi="SkolaSerifOffc"/>
                <w:sz w:val="20"/>
                <w:szCs w:val="20"/>
              </w:rPr>
              <w:t>„Процена на праксичка организираност кај деца од предучилишна возраст“</w:t>
            </w:r>
          </w:p>
        </w:tc>
        <w:tc>
          <w:tcPr>
            <w:tcW w:w="3076" w:type="dxa"/>
            <w:shd w:val="clear" w:color="auto" w:fill="auto"/>
          </w:tcPr>
          <w:p w:rsidR="00B82689" w:rsidRPr="005C2C68" w:rsidRDefault="001F5D25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Assessment of praxis in preschool children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hAnsi="SkolaSerifOffc"/>
                <w:sz w:val="20"/>
                <w:szCs w:val="20"/>
              </w:rPr>
              <w:t>Горан Ајдински</w:t>
            </w:r>
          </w:p>
        </w:tc>
        <w:tc>
          <w:tcPr>
            <w:tcW w:w="1644" w:type="dxa"/>
            <w:shd w:val="clear" w:color="auto" w:fill="auto"/>
          </w:tcPr>
          <w:p w:rsidR="00B82689" w:rsidRDefault="001F5D25" w:rsidP="00B82689">
            <w:r>
              <w:rPr>
                <w:lang w:val="en-US"/>
              </w:rPr>
              <w:t>10-399</w:t>
            </w:r>
            <w:r w:rsidR="00B82689" w:rsidRPr="004E6DF1">
              <w:rPr>
                <w:lang w:val="en-US"/>
              </w:rPr>
              <w:t xml:space="preserve">/3 </w:t>
            </w:r>
            <w:r w:rsidR="00B82689" w:rsidRPr="004E6DF1">
              <w:t xml:space="preserve">од </w:t>
            </w:r>
            <w:r w:rsidR="00B82689" w:rsidRPr="004E6DF1">
              <w:rPr>
                <w:lang w:val="en-US"/>
              </w:rPr>
              <w:t>3.3.2022</w:t>
            </w:r>
            <w:r w:rsidR="00B82689" w:rsidRPr="004E6DF1">
              <w:t xml:space="preserve"> год.</w:t>
            </w:r>
          </w:p>
        </w:tc>
      </w:tr>
      <w:tr w:rsidR="00B82689" w:rsidRPr="005C2C68" w:rsidTr="00AB3237">
        <w:trPr>
          <w:trHeight w:val="914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6.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Мартина Трајковска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03B0C">
              <w:rPr>
                <w:rFonts w:ascii="SkolaSerifOffc" w:hAnsi="SkolaSerifOffc"/>
                <w:sz w:val="20"/>
                <w:szCs w:val="20"/>
              </w:rPr>
              <w:t>„Дидактичко-методичко дизајнирање на наставни материјали за програмските подрачја Почетно читање и пишување и Јазик“</w:t>
            </w:r>
          </w:p>
        </w:tc>
        <w:tc>
          <w:tcPr>
            <w:tcW w:w="3076" w:type="dxa"/>
            <w:shd w:val="clear" w:color="auto" w:fill="auto"/>
          </w:tcPr>
          <w:p w:rsidR="00B82689" w:rsidRPr="005C2C68" w:rsidRDefault="004A773F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Methodical -</w:t>
            </w:r>
            <w:bookmarkStart w:id="0" w:name="_GoBack"/>
            <w:bookmarkEnd w:id="0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 didactic designing of teaching materials for the program areas – Initial reading and writing and Language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Елизабета Томевска Илиевска</w:t>
            </w:r>
          </w:p>
        </w:tc>
        <w:tc>
          <w:tcPr>
            <w:tcW w:w="1644" w:type="dxa"/>
            <w:shd w:val="clear" w:color="auto" w:fill="auto"/>
          </w:tcPr>
          <w:p w:rsidR="00B82689" w:rsidRDefault="004A773F" w:rsidP="00B82689">
            <w:r>
              <w:rPr>
                <w:lang w:val="en-US"/>
              </w:rPr>
              <w:t>10-492</w:t>
            </w:r>
            <w:r w:rsidR="00B82689" w:rsidRPr="004E6DF1">
              <w:rPr>
                <w:lang w:val="en-US"/>
              </w:rPr>
              <w:t xml:space="preserve">/3 </w:t>
            </w:r>
            <w:r w:rsidR="00B82689" w:rsidRPr="004E6DF1">
              <w:t xml:space="preserve">од </w:t>
            </w:r>
            <w:r w:rsidR="00B82689" w:rsidRPr="004E6DF1">
              <w:rPr>
                <w:lang w:val="en-US"/>
              </w:rPr>
              <w:t>3.3.2022</w:t>
            </w:r>
            <w:r w:rsidR="00B82689" w:rsidRPr="004E6DF1">
              <w:t xml:space="preserve"> год.</w:t>
            </w:r>
          </w:p>
        </w:tc>
      </w:tr>
      <w:tr w:rsidR="00B82689" w:rsidRPr="005C2C68" w:rsidTr="00AB3237">
        <w:trPr>
          <w:trHeight w:val="970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7.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Викторија Петровска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03B0C">
              <w:rPr>
                <w:rFonts w:ascii="SkolaSerifOffc" w:hAnsi="SkolaSerifOffc"/>
                <w:sz w:val="20"/>
                <w:szCs w:val="20"/>
              </w:rPr>
              <w:t>„Општествените промени и развојот на македонскиот театар во период после Втората светска војна до денес“</w:t>
            </w:r>
          </w:p>
        </w:tc>
        <w:tc>
          <w:tcPr>
            <w:tcW w:w="3076" w:type="dxa"/>
            <w:shd w:val="clear" w:color="auto" w:fill="auto"/>
          </w:tcPr>
          <w:p w:rsidR="00B82689" w:rsidRPr="005C2C68" w:rsidRDefault="004A773F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4A773F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Social changes and the development of the Macedonian theater in the period after the Second World War until today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Антоанела Петковска</w:t>
            </w:r>
          </w:p>
        </w:tc>
        <w:tc>
          <w:tcPr>
            <w:tcW w:w="1644" w:type="dxa"/>
            <w:shd w:val="clear" w:color="auto" w:fill="auto"/>
          </w:tcPr>
          <w:p w:rsidR="00B82689" w:rsidRDefault="004A773F" w:rsidP="00B82689">
            <w:r>
              <w:rPr>
                <w:lang w:val="en-US"/>
              </w:rPr>
              <w:t>10-613</w:t>
            </w:r>
            <w:r w:rsidR="00B82689" w:rsidRPr="004E6DF1">
              <w:rPr>
                <w:lang w:val="en-US"/>
              </w:rPr>
              <w:t xml:space="preserve">/3 </w:t>
            </w:r>
            <w:r w:rsidR="00B82689" w:rsidRPr="004E6DF1">
              <w:t xml:space="preserve">од </w:t>
            </w:r>
            <w:r w:rsidR="00B82689" w:rsidRPr="004E6DF1">
              <w:rPr>
                <w:lang w:val="en-US"/>
              </w:rPr>
              <w:t>3.3.2022</w:t>
            </w:r>
            <w:r w:rsidR="00B82689" w:rsidRPr="004E6DF1">
              <w:t xml:space="preserve"> год.</w:t>
            </w:r>
          </w:p>
        </w:tc>
      </w:tr>
      <w:tr w:rsidR="00B82689" w:rsidRPr="005C2C68" w:rsidTr="009C1B42">
        <w:trPr>
          <w:trHeight w:val="838"/>
        </w:trPr>
        <w:tc>
          <w:tcPr>
            <w:tcW w:w="680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14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Сашо Веновски</w:t>
            </w:r>
          </w:p>
        </w:tc>
        <w:tc>
          <w:tcPr>
            <w:tcW w:w="4085" w:type="dxa"/>
            <w:shd w:val="clear" w:color="auto" w:fill="auto"/>
          </w:tcPr>
          <w:p w:rsidR="00B82689" w:rsidRPr="005C2C68" w:rsidRDefault="00B82689" w:rsidP="00B82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03B0C">
              <w:rPr>
                <w:rFonts w:ascii="SkolaSerifOffc" w:hAnsi="SkolaSerifOffc"/>
                <w:sz w:val="20"/>
                <w:szCs w:val="20"/>
              </w:rPr>
              <w:t>„Социолошки аспекти на современите културни војни во САД“</w:t>
            </w:r>
          </w:p>
        </w:tc>
        <w:tc>
          <w:tcPr>
            <w:tcW w:w="3076" w:type="dxa"/>
            <w:shd w:val="clear" w:color="auto" w:fill="auto"/>
          </w:tcPr>
          <w:p w:rsidR="00B82689" w:rsidRPr="009C1B42" w:rsidRDefault="001F5D25" w:rsidP="00B82689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The sociological aspects of contemporary cultural wars in the USA</w:t>
            </w:r>
          </w:p>
        </w:tc>
        <w:tc>
          <w:tcPr>
            <w:tcW w:w="2056" w:type="dxa"/>
            <w:shd w:val="clear" w:color="auto" w:fill="auto"/>
          </w:tcPr>
          <w:p w:rsidR="00B82689" w:rsidRPr="005C2C68" w:rsidRDefault="00B82689" w:rsidP="00B82689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Антоанела Петковска</w:t>
            </w:r>
          </w:p>
        </w:tc>
        <w:tc>
          <w:tcPr>
            <w:tcW w:w="1644" w:type="dxa"/>
            <w:shd w:val="clear" w:color="auto" w:fill="auto"/>
          </w:tcPr>
          <w:p w:rsidR="00B82689" w:rsidRDefault="001F5D25" w:rsidP="00B82689">
            <w:r>
              <w:rPr>
                <w:lang w:val="en-US"/>
              </w:rPr>
              <w:t>10-612</w:t>
            </w:r>
            <w:r w:rsidR="00B82689" w:rsidRPr="004E6DF1">
              <w:rPr>
                <w:lang w:val="en-US"/>
              </w:rPr>
              <w:t xml:space="preserve">/3 </w:t>
            </w:r>
            <w:r w:rsidR="00B82689" w:rsidRPr="004E6DF1">
              <w:t xml:space="preserve">од </w:t>
            </w:r>
            <w:r w:rsidR="00B82689" w:rsidRPr="004E6DF1">
              <w:rPr>
                <w:lang w:val="en-US"/>
              </w:rPr>
              <w:t>3.3.2022</w:t>
            </w:r>
            <w:r w:rsidR="00B82689" w:rsidRPr="004E6DF1">
              <w:t xml:space="preserve"> год.</w:t>
            </w:r>
          </w:p>
        </w:tc>
      </w:tr>
    </w:tbl>
    <w:p w:rsidR="00B03108" w:rsidRPr="005C2C68" w:rsidRDefault="00B03108" w:rsidP="00D03B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B03108" w:rsidRPr="005C2C6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8"/>
    <w:rsid w:val="00032983"/>
    <w:rsid w:val="000E6B23"/>
    <w:rsid w:val="001F5D25"/>
    <w:rsid w:val="00222D8B"/>
    <w:rsid w:val="00234717"/>
    <w:rsid w:val="00255BF0"/>
    <w:rsid w:val="0027501D"/>
    <w:rsid w:val="002A17C3"/>
    <w:rsid w:val="002D00A5"/>
    <w:rsid w:val="00305B01"/>
    <w:rsid w:val="00306F1A"/>
    <w:rsid w:val="00316AD8"/>
    <w:rsid w:val="003403B3"/>
    <w:rsid w:val="00357D92"/>
    <w:rsid w:val="003A7E67"/>
    <w:rsid w:val="003C05B4"/>
    <w:rsid w:val="00401E68"/>
    <w:rsid w:val="004A6B91"/>
    <w:rsid w:val="004A773F"/>
    <w:rsid w:val="005148F6"/>
    <w:rsid w:val="0052744D"/>
    <w:rsid w:val="005C2C68"/>
    <w:rsid w:val="00601BC6"/>
    <w:rsid w:val="006647B4"/>
    <w:rsid w:val="00690325"/>
    <w:rsid w:val="006C6789"/>
    <w:rsid w:val="0074281A"/>
    <w:rsid w:val="007658A1"/>
    <w:rsid w:val="00775DE1"/>
    <w:rsid w:val="00783B04"/>
    <w:rsid w:val="007C2265"/>
    <w:rsid w:val="007F09FF"/>
    <w:rsid w:val="007F1116"/>
    <w:rsid w:val="00823E57"/>
    <w:rsid w:val="00840041"/>
    <w:rsid w:val="00853DEA"/>
    <w:rsid w:val="00916A5F"/>
    <w:rsid w:val="00925D1F"/>
    <w:rsid w:val="00946DE6"/>
    <w:rsid w:val="00964D6F"/>
    <w:rsid w:val="00982B39"/>
    <w:rsid w:val="009C1B42"/>
    <w:rsid w:val="009E718F"/>
    <w:rsid w:val="00A55D38"/>
    <w:rsid w:val="00A739A2"/>
    <w:rsid w:val="00A742BC"/>
    <w:rsid w:val="00A760E2"/>
    <w:rsid w:val="00A77F55"/>
    <w:rsid w:val="00AA19DA"/>
    <w:rsid w:val="00AB3237"/>
    <w:rsid w:val="00B03108"/>
    <w:rsid w:val="00B43933"/>
    <w:rsid w:val="00B82689"/>
    <w:rsid w:val="00BC3474"/>
    <w:rsid w:val="00BD65DD"/>
    <w:rsid w:val="00CB4B6D"/>
    <w:rsid w:val="00CF764A"/>
    <w:rsid w:val="00D00C0C"/>
    <w:rsid w:val="00D03B0C"/>
    <w:rsid w:val="00D23122"/>
    <w:rsid w:val="00D31067"/>
    <w:rsid w:val="00D37DD4"/>
    <w:rsid w:val="00D41B76"/>
    <w:rsid w:val="00D91605"/>
    <w:rsid w:val="00DC3EDB"/>
    <w:rsid w:val="00DE5381"/>
    <w:rsid w:val="00E15A8C"/>
    <w:rsid w:val="00E30D45"/>
    <w:rsid w:val="00E52879"/>
    <w:rsid w:val="00E723D8"/>
    <w:rsid w:val="00ED0A70"/>
    <w:rsid w:val="00F31BC6"/>
    <w:rsid w:val="00F334A6"/>
    <w:rsid w:val="00FC1A6D"/>
    <w:rsid w:val="00FC776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8F6B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9</cp:revision>
  <cp:lastPrinted>2022-02-11T08:17:00Z</cp:lastPrinted>
  <dcterms:created xsi:type="dcterms:W3CDTF">2022-01-18T15:00:00Z</dcterms:created>
  <dcterms:modified xsi:type="dcterms:W3CDTF">2022-03-04T07:57:00Z</dcterms:modified>
</cp:coreProperties>
</file>